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FB" w:rsidRPr="006E68E2" w:rsidRDefault="001A2BFB" w:rsidP="002F2768">
      <w:pPr>
        <w:tabs>
          <w:tab w:val="left" w:pos="113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6E6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«</w:t>
      </w:r>
      <w:r w:rsidR="000D2D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Жылуфизикадағы т</w:t>
      </w:r>
      <w:r w:rsidR="005B05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әжірибелік </w:t>
      </w:r>
      <w:r w:rsidR="000D2D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әдістер</w:t>
      </w:r>
      <w:r w:rsidRPr="006E6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»</w:t>
      </w:r>
      <w:r w:rsidRPr="001A2B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6E6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пәні бойынша қорытынды емтихан бағдарламасы</w:t>
      </w:r>
    </w:p>
    <w:p w:rsidR="001A2BFB" w:rsidRPr="001A2BFB" w:rsidRDefault="001A2BFB" w:rsidP="002F2768">
      <w:pPr>
        <w:tabs>
          <w:tab w:val="left" w:pos="113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F2768" w:rsidRPr="00C36593" w:rsidRDefault="002F2768" w:rsidP="002F2768">
      <w:pPr>
        <w:tabs>
          <w:tab w:val="left" w:pos="1134"/>
        </w:tabs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C3659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а) Емтихан сұрақтары</w:t>
      </w:r>
      <w:r w:rsidR="00BC5866" w:rsidRPr="00C3659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келесі тақырыптар бойынша құрастырылады (1</w:t>
      </w:r>
      <w:r w:rsidR="00845A51" w:rsidRPr="00845A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,2</w:t>
      </w:r>
      <w:r w:rsidR="00BC5866" w:rsidRPr="00C3659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және </w:t>
      </w:r>
      <w:r w:rsidR="00845A51" w:rsidRPr="00845A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3</w:t>
      </w:r>
      <w:r w:rsidR="00BC5866" w:rsidRPr="00C3659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</w:t>
      </w:r>
      <w:r w:rsidR="006E6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бөлімдер</w:t>
      </w:r>
      <w:r w:rsidR="00BC5866" w:rsidRPr="00C3659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):</w:t>
      </w:r>
    </w:p>
    <w:p w:rsidR="00BC5866" w:rsidRDefault="000D2DFE" w:rsidP="0044229B">
      <w:pPr>
        <w:pStyle w:val="Default"/>
        <w:rPr>
          <w:lang w:val="kk-KZ"/>
        </w:rPr>
      </w:pPr>
      <w:r w:rsidRPr="000D2DFE">
        <w:rPr>
          <w:b/>
          <w:bCs/>
        </w:rPr>
        <w:t xml:space="preserve">1. </w:t>
      </w:r>
      <w:r>
        <w:rPr>
          <w:b/>
          <w:bCs/>
          <w:lang w:val="kk-KZ"/>
        </w:rPr>
        <w:t>Жылуфизикалық эксперименттегі температураны өлшеудің әдістері мен техникалары</w:t>
      </w:r>
      <w:r w:rsidRPr="000D2DFE">
        <w:rPr>
          <w:b/>
          <w:bCs/>
        </w:rPr>
        <w:t xml:space="preserve">. </w:t>
      </w:r>
      <w:r w:rsidRPr="000D2DFE">
        <w:rPr>
          <w:bCs/>
          <w:lang w:val="kk-KZ"/>
        </w:rPr>
        <w:t>Температура</w:t>
      </w:r>
      <w:r w:rsidRPr="000D2DFE">
        <w:t xml:space="preserve"> </w:t>
      </w:r>
      <w:r>
        <w:rPr>
          <w:lang w:val="kk-KZ"/>
        </w:rPr>
        <w:t>мен датчиктердің классификациялары</w:t>
      </w:r>
      <w:r w:rsidRPr="000D2DFE">
        <w:t xml:space="preserve">. </w:t>
      </w:r>
      <w:r>
        <w:rPr>
          <w:lang w:val="kk-KZ"/>
        </w:rPr>
        <w:t>Термоэлектрлік термометрлер</w:t>
      </w:r>
      <w:r w:rsidRPr="000D2DFE">
        <w:t xml:space="preserve">. </w:t>
      </w:r>
      <w:r>
        <w:rPr>
          <w:lang w:val="kk-KZ"/>
        </w:rPr>
        <w:t>Термоэлектрлік құбылыстар теориясының элементтері</w:t>
      </w:r>
      <w:r w:rsidRPr="000D2DFE">
        <w:t xml:space="preserve">. </w:t>
      </w:r>
      <w:r>
        <w:rPr>
          <w:lang w:val="kk-KZ"/>
        </w:rPr>
        <w:t xml:space="preserve">Термо </w:t>
      </w:r>
      <w:r w:rsidRPr="000D2DFE">
        <w:t>–</w:t>
      </w:r>
      <w:r>
        <w:rPr>
          <w:lang w:val="kk-KZ"/>
        </w:rPr>
        <w:t xml:space="preserve">ЭДС </w:t>
      </w:r>
      <w:r w:rsidRPr="000D2DFE">
        <w:t>–</w:t>
      </w:r>
      <w:r>
        <w:rPr>
          <w:lang w:val="kk-KZ"/>
        </w:rPr>
        <w:t>ті өлшеудің ерекшеліктері</w:t>
      </w:r>
      <w:r w:rsidRPr="000D2DFE">
        <w:t xml:space="preserve">. </w:t>
      </w:r>
      <w:r>
        <w:rPr>
          <w:lang w:val="kk-KZ"/>
        </w:rPr>
        <w:t>Компесациялық әдіс</w:t>
      </w:r>
      <w:r w:rsidRPr="000D2DFE">
        <w:t xml:space="preserve">. </w:t>
      </w:r>
      <w:r>
        <w:rPr>
          <w:lang w:val="kk-KZ"/>
        </w:rPr>
        <w:t>Автоматтандырылған потенциометрлер</w:t>
      </w:r>
      <w:r w:rsidRPr="000D2DFE">
        <w:t xml:space="preserve">. </w:t>
      </w:r>
      <w:r>
        <w:rPr>
          <w:lang w:val="kk-KZ"/>
        </w:rPr>
        <w:t>Кедергілік термометрлер</w:t>
      </w:r>
      <w:r w:rsidRPr="000D2DFE">
        <w:t xml:space="preserve">. </w:t>
      </w:r>
      <w:r>
        <w:rPr>
          <w:lang w:val="kk-KZ"/>
        </w:rPr>
        <w:t>Термометрлердің құрылымы</w:t>
      </w:r>
      <w:r w:rsidRPr="000D2DFE">
        <w:t xml:space="preserve">. </w:t>
      </w:r>
      <w:r w:rsidR="0044229B">
        <w:rPr>
          <w:lang w:val="kk-KZ"/>
        </w:rPr>
        <w:t>Сипаттамалары және қолданылу аясы</w:t>
      </w:r>
      <w:r w:rsidRPr="000D2DFE">
        <w:t xml:space="preserve">. </w:t>
      </w:r>
      <w:r w:rsidR="0044229B">
        <w:rPr>
          <w:lang w:val="kk-KZ"/>
        </w:rPr>
        <w:t>Температураны өлшеудегі жіберілетін қателіктер</w:t>
      </w:r>
      <w:r w:rsidRPr="000D2DFE">
        <w:t xml:space="preserve">. </w:t>
      </w:r>
      <w:r w:rsidR="0044229B">
        <w:rPr>
          <w:lang w:val="kk-KZ"/>
        </w:rPr>
        <w:t>Температураны өлшеудің контактіз әдістері</w:t>
      </w:r>
      <w:r w:rsidRPr="000D2DFE">
        <w:t xml:space="preserve">. </w:t>
      </w:r>
      <w:r w:rsidR="0044229B">
        <w:rPr>
          <w:lang w:val="kk-KZ"/>
        </w:rPr>
        <w:t>Абсолютті қара дененің негізгі заңдары</w:t>
      </w:r>
      <w:r w:rsidRPr="000D2DFE">
        <w:t xml:space="preserve">. </w:t>
      </w:r>
      <w:r w:rsidR="0044229B">
        <w:rPr>
          <w:lang w:val="kk-KZ"/>
        </w:rPr>
        <w:t>Жарықтық</w:t>
      </w:r>
      <w:r w:rsidRPr="000D2DFE">
        <w:t xml:space="preserve">, </w:t>
      </w:r>
      <w:r w:rsidR="0044229B">
        <w:rPr>
          <w:lang w:val="kk-KZ"/>
        </w:rPr>
        <w:t>түрлі</w:t>
      </w:r>
      <w:r w:rsidR="0044229B" w:rsidRPr="0044229B">
        <w:t>-</w:t>
      </w:r>
      <w:r w:rsidR="0044229B">
        <w:rPr>
          <w:lang w:val="kk-KZ"/>
        </w:rPr>
        <w:t>түсті және радиациялық температуралар</w:t>
      </w:r>
      <w:r w:rsidRPr="000D2DFE">
        <w:t xml:space="preserve">. </w:t>
      </w:r>
      <w:r w:rsidR="0044229B">
        <w:rPr>
          <w:lang w:val="kk-KZ"/>
        </w:rPr>
        <w:t>Пирометрлердің құрылымы</w:t>
      </w:r>
      <w:r w:rsidRPr="000D2DFE">
        <w:t xml:space="preserve">. </w:t>
      </w:r>
      <w:r w:rsidR="0044229B">
        <w:rPr>
          <w:lang w:val="kk-KZ"/>
        </w:rPr>
        <w:t>Градуирлеу әдістері</w:t>
      </w:r>
      <w:r w:rsidRPr="000D2DFE">
        <w:t xml:space="preserve">. </w:t>
      </w:r>
      <w:r w:rsidRPr="00DB6034">
        <w:rPr>
          <w:lang w:val="kk-KZ"/>
        </w:rPr>
        <w:t xml:space="preserve"> </w:t>
      </w:r>
      <w:r w:rsidR="00862277" w:rsidRPr="00DB6034">
        <w:rPr>
          <w:lang w:val="kk-KZ"/>
        </w:rPr>
        <w:t>[1,</w:t>
      </w:r>
      <w:r w:rsidR="00337C91">
        <w:rPr>
          <w:lang w:val="kk-KZ"/>
        </w:rPr>
        <w:t>3</w:t>
      </w:r>
      <w:r w:rsidR="00337C91" w:rsidRPr="002C4AE9">
        <w:t>,</w:t>
      </w:r>
      <w:r w:rsidR="00862277" w:rsidRPr="00DB6034">
        <w:rPr>
          <w:lang w:val="kk-KZ"/>
        </w:rPr>
        <w:t>4]</w:t>
      </w:r>
      <w:r w:rsidR="00BC5866" w:rsidRPr="00862277">
        <w:rPr>
          <w:lang w:val="kk-KZ"/>
        </w:rPr>
        <w:t>.</w:t>
      </w:r>
    </w:p>
    <w:p w:rsidR="0044229B" w:rsidRDefault="0044229B" w:rsidP="00442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4229B">
        <w:rPr>
          <w:b/>
          <w:sz w:val="24"/>
          <w:szCs w:val="24"/>
          <w:lang w:val="kk-KZ"/>
        </w:rPr>
        <w:t>2.</w:t>
      </w:r>
      <w:r w:rsidRPr="0044229B">
        <w:rPr>
          <w:b/>
          <w:lang w:val="kk-KZ"/>
        </w:rPr>
        <w:t xml:space="preserve"> </w:t>
      </w:r>
      <w:r w:rsidRPr="004422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Жылуфизикалық эксперименттегі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қысымды</w:t>
      </w:r>
      <w:r w:rsidRPr="004422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өлшеудің әдістері мен техникалары. </w:t>
      </w:r>
      <w:r w:rsidRPr="0044229B">
        <w:rPr>
          <w:rFonts w:ascii="Times New Roman" w:hAnsi="Times New Roman" w:cs="Times New Roman"/>
          <w:bCs/>
          <w:sz w:val="24"/>
          <w:szCs w:val="24"/>
          <w:lang w:val="kk-KZ"/>
        </w:rPr>
        <w:t>Абсолютті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және салыстырмалы әдістер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Манометрлік түрлендіргіштердің түрлері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42493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олардың сипаттамалары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424936">
        <w:rPr>
          <w:rFonts w:ascii="Times New Roman" w:hAnsi="Times New Roman" w:cs="Times New Roman"/>
          <w:color w:val="000000"/>
          <w:sz w:val="24"/>
          <w:szCs w:val="24"/>
          <w:lang w:val="kk-KZ"/>
        </w:rPr>
        <w:t>градуирлеу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424936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Жоғары және өте жоғары қысымдарды тудырудың әдістері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424936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Жоғары қысым жүйелерінің элементтері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</w:t>
      </w:r>
      <w:r w:rsidR="00424936">
        <w:rPr>
          <w:rFonts w:ascii="Times New Roman" w:hAnsi="Times New Roman" w:cs="Times New Roman"/>
          <w:color w:val="000000"/>
          <w:sz w:val="24"/>
          <w:szCs w:val="24"/>
          <w:lang w:val="kk-KZ"/>
        </w:rPr>
        <w:t>пьезометрлер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424936">
        <w:rPr>
          <w:rFonts w:ascii="Times New Roman" w:hAnsi="Times New Roman" w:cs="Times New Roman"/>
          <w:color w:val="000000"/>
          <w:sz w:val="24"/>
          <w:szCs w:val="24"/>
          <w:lang w:val="kk-KZ"/>
        </w:rPr>
        <w:t>мультипликаторлар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424936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термокомпрессорлар және басқ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.). </w:t>
      </w:r>
      <w:r w:rsidR="00424936">
        <w:rPr>
          <w:rFonts w:ascii="Times New Roman" w:hAnsi="Times New Roman" w:cs="Times New Roman"/>
          <w:color w:val="000000"/>
          <w:sz w:val="24"/>
          <w:szCs w:val="24"/>
          <w:lang w:val="kk-KZ"/>
        </w:rPr>
        <w:t>Бөлгіш қондырғылар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</w:t>
      </w:r>
      <w:r w:rsidR="00424936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затворлар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424936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мембраналар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424936">
        <w:rPr>
          <w:rFonts w:ascii="Times New Roman" w:hAnsi="Times New Roman" w:cs="Times New Roman"/>
          <w:color w:val="000000"/>
          <w:sz w:val="24"/>
          <w:szCs w:val="24"/>
          <w:lang w:val="kk-KZ"/>
        </w:rPr>
        <w:t>сильфондар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). </w:t>
      </w:r>
      <w:r w:rsidR="0042493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Қысымды өлшеу әдістері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424936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Салмақтық поршеньдік манометрлер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424936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Қысымды өлшеудегі жіберілетін қателіктер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:rsidR="00424936" w:rsidRDefault="00424936" w:rsidP="00424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2493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Заттардың жылуфизикалық қасиеттерін өлшеудің тәжірибелік әдістері</w:t>
      </w:r>
      <w:r w:rsidRPr="000D2DF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. </w:t>
      </w:r>
      <w:r w:rsidR="00E54FAF" w:rsidRPr="00E54FA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Тығыздықты өлшеу әдістері</w:t>
      </w:r>
      <w:r w:rsidRPr="000D2DF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</w:t>
      </w:r>
      <w:r w:rsidR="00E54FAF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меншікті көлем арқылы</w:t>
      </w:r>
      <w:r w:rsidRPr="000D2DFE"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="00E54FA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қатты</w:t>
      </w:r>
      <w:r w:rsidRPr="000D2DF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E54FAF">
        <w:rPr>
          <w:rFonts w:ascii="Times New Roman" w:hAnsi="Times New Roman" w:cs="Times New Roman"/>
          <w:color w:val="000000"/>
          <w:sz w:val="24"/>
          <w:szCs w:val="24"/>
          <w:lang w:val="kk-KZ"/>
        </w:rPr>
        <w:t>сұйық</w:t>
      </w:r>
      <w:r w:rsidRPr="000D2DF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E54FAF">
        <w:rPr>
          <w:rFonts w:ascii="Times New Roman" w:hAnsi="Times New Roman" w:cs="Times New Roman"/>
          <w:color w:val="000000"/>
          <w:sz w:val="24"/>
          <w:szCs w:val="24"/>
          <w:lang w:val="kk-KZ"/>
        </w:rPr>
        <w:t>газтәріздес заттардың</w:t>
      </w:r>
      <w:r w:rsidRPr="000D2DF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E54FAF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Қатты денелер тығыздығының</w:t>
      </w:r>
      <w:r w:rsidRPr="000D2DF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54FA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температураға тәуелділігін зерттеу әдістері</w:t>
      </w:r>
      <w:r w:rsidRPr="000D2DF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E54FAF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Заттардың жылуөткізгіштігін өлшеу</w:t>
      </w:r>
      <w:r w:rsidRPr="000D2DF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E54FA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Жылуөткізгіштіктің стационарлық емес әдістері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 </w:t>
      </w:r>
      <w:r w:rsidR="00E54FAF">
        <w:rPr>
          <w:rFonts w:ascii="Times New Roman" w:hAnsi="Times New Roman" w:cs="Times New Roman"/>
          <w:color w:val="000000"/>
          <w:sz w:val="24"/>
          <w:szCs w:val="24"/>
          <w:lang w:val="kk-KZ"/>
        </w:rPr>
        <w:t>Жылуфизикалық экспериментті автоматтандырудың мысалдары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E54FAF">
        <w:rPr>
          <w:rFonts w:ascii="Times New Roman" w:hAnsi="Times New Roman" w:cs="Times New Roman"/>
          <w:color w:val="000000"/>
          <w:sz w:val="24"/>
          <w:szCs w:val="24"/>
          <w:lang w:val="kk-KZ"/>
        </w:rPr>
        <w:t>Сұйық пен газдың тұтқырлығын өлшеу әдістері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FF61E0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Заттардың калориялық қасиеттерін өлшеу әдістері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 </w:t>
      </w:r>
      <w:r w:rsidR="00FF61E0">
        <w:rPr>
          <w:rFonts w:ascii="Times New Roman" w:hAnsi="Times New Roman" w:cs="Times New Roman"/>
          <w:color w:val="000000"/>
          <w:sz w:val="24"/>
          <w:szCs w:val="24"/>
          <w:lang w:val="kk-KZ"/>
        </w:rPr>
        <w:t>Жылусыйымдылықты және энтальпияны өлшеу әдістері</w:t>
      </w:r>
      <w:r w:rsidRPr="002C4A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:rsidR="00E54FAF" w:rsidRPr="000D2DFE" w:rsidRDefault="00E54FAF" w:rsidP="002C4A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C4AE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4. </w:t>
      </w:r>
      <w:r w:rsidR="00FF61E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Жылу беру және массаалмасуды  тәжірибелік зерттеу әдістері</w:t>
      </w:r>
      <w:r w:rsidRPr="002C4AE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. </w:t>
      </w:r>
      <w:r w:rsidR="006B5EC0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Жылу беру бетіндегі жылу ағындарын тудыру әдістері</w:t>
      </w:r>
      <w:r w:rsidRPr="006B5EC0">
        <w:rPr>
          <w:rFonts w:ascii="Times New Roman" w:hAnsi="Times New Roman" w:cs="Times New Roman"/>
          <w:sz w:val="23"/>
          <w:szCs w:val="23"/>
          <w:lang w:val="kk-KZ"/>
        </w:rPr>
        <w:t>.</w:t>
      </w:r>
      <w:r w:rsidR="006B5EC0">
        <w:rPr>
          <w:rFonts w:ascii="Times New Roman" w:hAnsi="Times New Roman" w:cs="Times New Roman"/>
          <w:sz w:val="23"/>
          <w:szCs w:val="23"/>
          <w:lang w:val="kk-KZ"/>
        </w:rPr>
        <w:t xml:space="preserve"> Жылу ағынының тығыздығын өлшеу әдістері</w:t>
      </w:r>
      <w:r w:rsidR="006B5EC0" w:rsidRPr="00522B02">
        <w:rPr>
          <w:rFonts w:ascii="Times New Roman" w:hAnsi="Times New Roman" w:cs="Times New Roman"/>
          <w:sz w:val="23"/>
          <w:szCs w:val="23"/>
          <w:lang w:val="kk-KZ"/>
        </w:rPr>
        <w:t>.</w:t>
      </w:r>
      <w:r w:rsidR="006B5EC0">
        <w:rPr>
          <w:rFonts w:ascii="Times New Roman" w:hAnsi="Times New Roman" w:cs="Times New Roman"/>
          <w:sz w:val="23"/>
          <w:szCs w:val="23"/>
          <w:lang w:val="kk-KZ"/>
        </w:rPr>
        <w:t xml:space="preserve"> Жылуөлшегіштер</w:t>
      </w:r>
      <w:r w:rsidRPr="00522B02">
        <w:rPr>
          <w:rFonts w:ascii="Times New Roman" w:hAnsi="Times New Roman" w:cs="Times New Roman"/>
          <w:sz w:val="23"/>
          <w:szCs w:val="23"/>
          <w:lang w:val="kk-KZ"/>
        </w:rPr>
        <w:t xml:space="preserve">. </w:t>
      </w:r>
      <w:r w:rsidR="006B5EC0">
        <w:rPr>
          <w:rFonts w:ascii="Times New Roman" w:hAnsi="Times New Roman" w:cs="Times New Roman"/>
          <w:sz w:val="23"/>
          <w:szCs w:val="23"/>
          <w:lang w:val="kk-KZ"/>
        </w:rPr>
        <w:t>Жылу берудің стационарлық емес әдістері</w:t>
      </w:r>
      <w:r w:rsidRPr="00522B02">
        <w:rPr>
          <w:rFonts w:ascii="Times New Roman" w:hAnsi="Times New Roman" w:cs="Times New Roman"/>
          <w:sz w:val="23"/>
          <w:szCs w:val="23"/>
          <w:lang w:val="kk-KZ"/>
        </w:rPr>
        <w:t xml:space="preserve">. </w:t>
      </w:r>
      <w:r w:rsidR="00522B02">
        <w:rPr>
          <w:rFonts w:ascii="Times New Roman" w:hAnsi="Times New Roman" w:cs="Times New Roman"/>
          <w:sz w:val="23"/>
          <w:szCs w:val="23"/>
          <w:lang w:val="kk-KZ"/>
        </w:rPr>
        <w:t>Регулярлық режім әдістері</w:t>
      </w:r>
      <w:r w:rsidRPr="000D2DFE">
        <w:rPr>
          <w:rFonts w:ascii="Times New Roman" w:hAnsi="Times New Roman" w:cs="Times New Roman"/>
          <w:sz w:val="23"/>
          <w:szCs w:val="23"/>
        </w:rPr>
        <w:t>.  ’’</w:t>
      </w:r>
      <w:r w:rsidR="00522B02">
        <w:rPr>
          <w:rFonts w:ascii="Times New Roman" w:hAnsi="Times New Roman" w:cs="Times New Roman"/>
          <w:sz w:val="23"/>
          <w:szCs w:val="23"/>
          <w:lang w:val="kk-KZ"/>
        </w:rPr>
        <w:t>Екі нүкте</w:t>
      </w:r>
      <w:r w:rsidRPr="000D2DFE">
        <w:rPr>
          <w:rFonts w:ascii="Times New Roman" w:hAnsi="Times New Roman" w:cs="Times New Roman"/>
          <w:sz w:val="23"/>
          <w:szCs w:val="23"/>
        </w:rPr>
        <w:t>’’</w:t>
      </w:r>
      <w:r w:rsidR="00522B02">
        <w:rPr>
          <w:rFonts w:ascii="Times New Roman" w:hAnsi="Times New Roman" w:cs="Times New Roman"/>
          <w:sz w:val="23"/>
          <w:szCs w:val="23"/>
          <w:lang w:val="kk-KZ"/>
        </w:rPr>
        <w:t xml:space="preserve"> әдісі</w:t>
      </w:r>
      <w:r w:rsidRPr="000D2DFE">
        <w:rPr>
          <w:rFonts w:ascii="Times New Roman" w:hAnsi="Times New Roman" w:cs="Times New Roman"/>
          <w:sz w:val="23"/>
          <w:szCs w:val="23"/>
        </w:rPr>
        <w:t xml:space="preserve">. </w:t>
      </w:r>
      <w:bookmarkStart w:id="0" w:name="_GoBack"/>
      <w:bookmarkEnd w:id="0"/>
      <w:r w:rsidRPr="000D2DF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54FAF" w:rsidRPr="000D2DFE" w:rsidRDefault="00E54FAF" w:rsidP="00E5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2DFE">
        <w:rPr>
          <w:rFonts w:ascii="Times New Roman" w:hAnsi="Times New Roman" w:cs="Times New Roman"/>
          <w:b/>
          <w:bCs/>
          <w:sz w:val="23"/>
          <w:szCs w:val="23"/>
        </w:rPr>
        <w:t xml:space="preserve">5. </w:t>
      </w:r>
      <w:r w:rsidR="002C4AE9">
        <w:rPr>
          <w:rFonts w:ascii="Times New Roman" w:hAnsi="Times New Roman" w:cs="Times New Roman"/>
          <w:b/>
          <w:bCs/>
          <w:sz w:val="23"/>
          <w:szCs w:val="23"/>
          <w:lang w:val="kk-KZ"/>
        </w:rPr>
        <w:t>Бірфазалы және көпфазалы орталардың шығындарынбөлшеу әдістері</w:t>
      </w:r>
      <w:r w:rsidRPr="000D2DFE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6B5EC0" w:rsidRPr="006B5EC0">
        <w:rPr>
          <w:rFonts w:ascii="Times New Roman" w:hAnsi="Times New Roman" w:cs="Times New Roman"/>
          <w:bCs/>
          <w:sz w:val="23"/>
          <w:szCs w:val="23"/>
          <w:lang w:val="kk-KZ"/>
        </w:rPr>
        <w:t>Сұйық газ және булардың шығынын</w:t>
      </w:r>
      <w:r w:rsidR="006B5EC0">
        <w:rPr>
          <w:rFonts w:ascii="Times New Roman" w:hAnsi="Times New Roman" w:cs="Times New Roman"/>
          <w:bCs/>
          <w:sz w:val="23"/>
          <w:szCs w:val="23"/>
          <w:lang w:val="kk-KZ"/>
        </w:rPr>
        <w:t xml:space="preserve"> өлшейтін приборлардың мәні</w:t>
      </w:r>
      <w:r w:rsidRPr="000D2DFE">
        <w:rPr>
          <w:rFonts w:ascii="Times New Roman" w:hAnsi="Times New Roman" w:cs="Times New Roman"/>
          <w:sz w:val="23"/>
          <w:szCs w:val="23"/>
        </w:rPr>
        <w:t>.</w:t>
      </w:r>
      <w:r w:rsidR="006B5EC0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6B5EC0" w:rsidRPr="006B5EC0">
        <w:rPr>
          <w:rFonts w:ascii="Times New Roman" w:hAnsi="Times New Roman" w:cs="Times New Roman"/>
          <w:bCs/>
          <w:sz w:val="23"/>
          <w:szCs w:val="23"/>
          <w:lang w:val="kk-KZ"/>
        </w:rPr>
        <w:t>Сұйық газ және булардың шығынын</w:t>
      </w:r>
      <w:r w:rsidR="006B5EC0">
        <w:rPr>
          <w:rFonts w:ascii="Times New Roman" w:hAnsi="Times New Roman" w:cs="Times New Roman"/>
          <w:bCs/>
          <w:sz w:val="23"/>
          <w:szCs w:val="23"/>
          <w:lang w:val="kk-KZ"/>
        </w:rPr>
        <w:t xml:space="preserve"> өлшейтін приборлар</w:t>
      </w:r>
      <w:r w:rsidR="006B5EC0">
        <w:rPr>
          <w:rFonts w:ascii="Times New Roman" w:hAnsi="Times New Roman" w:cs="Times New Roman"/>
          <w:bCs/>
          <w:sz w:val="23"/>
          <w:szCs w:val="23"/>
          <w:lang w:val="kk-KZ"/>
        </w:rPr>
        <w:t>ға қойылатын талаптар</w:t>
      </w:r>
      <w:r w:rsidRPr="000D2DFE">
        <w:rPr>
          <w:rFonts w:ascii="Times New Roman" w:hAnsi="Times New Roman" w:cs="Times New Roman"/>
          <w:sz w:val="23"/>
          <w:szCs w:val="23"/>
        </w:rPr>
        <w:t xml:space="preserve">. </w:t>
      </w:r>
      <w:r w:rsidR="006B5EC0">
        <w:rPr>
          <w:rFonts w:ascii="Times New Roman" w:hAnsi="Times New Roman" w:cs="Times New Roman"/>
          <w:sz w:val="23"/>
          <w:szCs w:val="23"/>
          <w:lang w:val="kk-KZ"/>
        </w:rPr>
        <w:t>Стандарттық диафрагмалар мен сүзгіштер</w:t>
      </w:r>
      <w:r w:rsidRPr="000D2DFE">
        <w:rPr>
          <w:rFonts w:ascii="Times New Roman" w:hAnsi="Times New Roman" w:cs="Times New Roman"/>
          <w:sz w:val="23"/>
          <w:szCs w:val="23"/>
        </w:rPr>
        <w:t xml:space="preserve">.  </w:t>
      </w:r>
      <w:r w:rsidR="006B5EC0">
        <w:rPr>
          <w:rFonts w:ascii="Times New Roman" w:hAnsi="Times New Roman" w:cs="Times New Roman"/>
          <w:sz w:val="23"/>
          <w:szCs w:val="23"/>
          <w:lang w:val="kk-KZ"/>
        </w:rPr>
        <w:t>Жылу және оптикалық шығын өлшегіштер</w:t>
      </w:r>
      <w:r w:rsidRPr="000D2DFE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E54FAF" w:rsidRPr="000D2DFE" w:rsidRDefault="00E54FAF" w:rsidP="00E5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D2DFE">
        <w:rPr>
          <w:rFonts w:ascii="Times New Roman" w:hAnsi="Times New Roman" w:cs="Times New Roman"/>
          <w:b/>
          <w:bCs/>
          <w:sz w:val="23"/>
          <w:szCs w:val="23"/>
        </w:rPr>
        <w:t xml:space="preserve">6. </w:t>
      </w:r>
      <w:r w:rsidR="002C4AE9">
        <w:rPr>
          <w:rFonts w:ascii="Times New Roman" w:hAnsi="Times New Roman" w:cs="Times New Roman"/>
          <w:b/>
          <w:bCs/>
          <w:sz w:val="23"/>
          <w:szCs w:val="23"/>
          <w:lang w:val="kk-KZ"/>
        </w:rPr>
        <w:t>Тәжірибелік қондырғылар мен құралдар</w:t>
      </w:r>
      <w:r w:rsidRPr="000D2DFE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27522E" w:rsidRPr="0027522E">
        <w:rPr>
          <w:rFonts w:ascii="Times New Roman" w:hAnsi="Times New Roman" w:cs="Times New Roman"/>
          <w:bCs/>
          <w:sz w:val="23"/>
          <w:szCs w:val="23"/>
          <w:lang w:val="kk-KZ"/>
        </w:rPr>
        <w:t>Трубалар</w:t>
      </w:r>
      <w:r w:rsidR="0027522E">
        <w:rPr>
          <w:rFonts w:ascii="Times New Roman" w:hAnsi="Times New Roman" w:cs="Times New Roman"/>
          <w:bCs/>
          <w:sz w:val="23"/>
          <w:szCs w:val="23"/>
          <w:lang w:val="kk-KZ"/>
        </w:rPr>
        <w:t>дағы ағатын б</w:t>
      </w:r>
      <w:r w:rsidR="0027522E" w:rsidRPr="0027522E">
        <w:rPr>
          <w:rFonts w:ascii="Times New Roman" w:hAnsi="Times New Roman" w:cs="Times New Roman"/>
          <w:bCs/>
          <w:sz w:val="23"/>
          <w:szCs w:val="23"/>
          <w:lang w:val="kk-KZ"/>
        </w:rPr>
        <w:t>ір фазалы</w:t>
      </w:r>
      <w:r w:rsidR="0027522E">
        <w:rPr>
          <w:rFonts w:ascii="Times New Roman" w:hAnsi="Times New Roman" w:cs="Times New Roman"/>
          <w:bCs/>
          <w:sz w:val="23"/>
          <w:szCs w:val="23"/>
          <w:lang w:val="kk-KZ"/>
        </w:rPr>
        <w:t xml:space="preserve"> сұйықтың  жылуалмасуын зерттеуге керекті жабық және ашық контурлар</w:t>
      </w:r>
      <w:r w:rsidRPr="000D2DFE">
        <w:rPr>
          <w:rFonts w:ascii="Times New Roman" w:hAnsi="Times New Roman" w:cs="Times New Roman"/>
          <w:sz w:val="23"/>
          <w:szCs w:val="23"/>
        </w:rPr>
        <w:t xml:space="preserve">, </w:t>
      </w:r>
      <w:r w:rsidR="0027522E">
        <w:rPr>
          <w:rFonts w:ascii="Times New Roman" w:hAnsi="Times New Roman" w:cs="Times New Roman"/>
          <w:sz w:val="23"/>
          <w:szCs w:val="23"/>
          <w:lang w:val="kk-KZ"/>
        </w:rPr>
        <w:t>контурда жұмыстық сұйықтың циркуляциясын тудыру әдістері</w:t>
      </w:r>
      <w:r w:rsidRPr="000D2DFE">
        <w:rPr>
          <w:rFonts w:ascii="Times New Roman" w:hAnsi="Times New Roman" w:cs="Times New Roman"/>
          <w:sz w:val="23"/>
          <w:szCs w:val="23"/>
        </w:rPr>
        <w:t xml:space="preserve">. </w:t>
      </w:r>
      <w:r w:rsidR="0027522E">
        <w:rPr>
          <w:rFonts w:ascii="Times New Roman" w:hAnsi="Times New Roman" w:cs="Times New Roman"/>
          <w:sz w:val="23"/>
          <w:szCs w:val="23"/>
          <w:lang w:val="kk-KZ"/>
        </w:rPr>
        <w:t>Арнайв циркуляция насостары</w:t>
      </w:r>
      <w:r w:rsidRPr="000D2DFE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E54FAF" w:rsidRPr="000D2DFE" w:rsidRDefault="00E54FAF" w:rsidP="00424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229B" w:rsidRPr="00424936" w:rsidRDefault="0044229B" w:rsidP="0044229B">
      <w:pPr>
        <w:pStyle w:val="Default"/>
        <w:rPr>
          <w:b/>
        </w:rPr>
      </w:pPr>
    </w:p>
    <w:p w:rsidR="00456F0C" w:rsidRPr="00456F0C" w:rsidRDefault="00C36593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б) Емтиханды тапсыру барысында </w:t>
      </w:r>
      <w:r w:rsidR="00FD1879">
        <w:rPr>
          <w:rFonts w:ascii="Times New Roman" w:hAnsi="Times New Roman" w:cs="Times New Roman"/>
          <w:b/>
          <w:sz w:val="24"/>
          <w:szCs w:val="24"/>
          <w:lang w:val="kk-KZ"/>
        </w:rPr>
        <w:t>магистрант</w:t>
      </w:r>
      <w:r w:rsidR="00456F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56F0C" w:rsidRPr="00456F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56F0C" w:rsidRPr="00456F0C" w:rsidRDefault="00DE5F4A" w:rsidP="00294EC5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механика</w:t>
      </w:r>
      <w:r w:rsidR="00456F0C" w:rsidRPr="00456F0C">
        <w:rPr>
          <w:rFonts w:ascii="Times New Roman" w:hAnsi="Times New Roman" w:cs="Times New Roman"/>
          <w:sz w:val="24"/>
          <w:szCs w:val="24"/>
          <w:lang w:val="kk-KZ"/>
        </w:rPr>
        <w:t xml:space="preserve"> және м</w:t>
      </w:r>
      <w:r>
        <w:rPr>
          <w:rFonts w:ascii="Times New Roman" w:hAnsi="Times New Roman" w:cs="Times New Roman"/>
          <w:sz w:val="24"/>
          <w:szCs w:val="24"/>
          <w:lang w:val="kk-KZ"/>
        </w:rPr>
        <w:t>олекулалық физика</w:t>
      </w:r>
      <w:r w:rsidR="00456F0C" w:rsidRPr="00456F0C">
        <w:rPr>
          <w:rFonts w:ascii="Times New Roman" w:hAnsi="Times New Roman" w:cs="Times New Roman"/>
          <w:sz w:val="24"/>
          <w:szCs w:val="24"/>
          <w:lang w:val="kk-KZ"/>
        </w:rPr>
        <w:t xml:space="preserve"> курсынан негізгі түсініктер  мен физикалық шамаларды түсіндіру</w:t>
      </w:r>
      <w:r w:rsidR="00456F0C">
        <w:rPr>
          <w:rFonts w:ascii="Times New Roman" w:hAnsi="Times New Roman" w:cs="Times New Roman"/>
          <w:sz w:val="24"/>
          <w:szCs w:val="24"/>
          <w:lang w:val="kk-KZ"/>
        </w:rPr>
        <w:t>ге</w:t>
      </w:r>
      <w:r w:rsidR="00456F0C" w:rsidRPr="00456F0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56F0C" w:rsidRPr="00456F0C" w:rsidRDefault="00DE5F4A" w:rsidP="00294EC5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молекулалық физиканың</w:t>
      </w:r>
      <w:r w:rsidR="00456F0C" w:rsidRPr="00456F0C">
        <w:rPr>
          <w:rFonts w:ascii="Times New Roman" w:hAnsi="Times New Roman" w:cs="Times New Roman"/>
          <w:sz w:val="24"/>
          <w:szCs w:val="24"/>
          <w:lang w:val="kk-KZ"/>
        </w:rPr>
        <w:t xml:space="preserve"> негізгі заңдары мен принциптерін, олардың логикалық мазмұнын және м</w:t>
      </w:r>
      <w:r>
        <w:rPr>
          <w:rFonts w:ascii="Times New Roman" w:hAnsi="Times New Roman" w:cs="Times New Roman"/>
          <w:sz w:val="24"/>
          <w:szCs w:val="24"/>
          <w:lang w:val="kk-KZ"/>
        </w:rPr>
        <w:t>олекулалық</w:t>
      </w:r>
      <w:r w:rsidRPr="00DE5F4A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кинетикалық</w:t>
      </w:r>
      <w:r w:rsidR="00456F0C" w:rsidRPr="00456F0C">
        <w:rPr>
          <w:rFonts w:ascii="Times New Roman" w:hAnsi="Times New Roman" w:cs="Times New Roman"/>
          <w:sz w:val="24"/>
          <w:szCs w:val="24"/>
          <w:lang w:val="kk-KZ"/>
        </w:rPr>
        <w:t xml:space="preserve"> құбылыстарды сипаттауға;</w:t>
      </w:r>
    </w:p>
    <w:p w:rsidR="00456F0C" w:rsidRPr="00456F0C" w:rsidRDefault="00456F0C" w:rsidP="00294EC5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sz w:val="24"/>
          <w:szCs w:val="24"/>
          <w:lang w:val="kk-KZ"/>
        </w:rPr>
        <w:t>физикалық моделдер мен гипотезаларды қолданудың шекарасын бағалауға;</w:t>
      </w:r>
    </w:p>
    <w:p w:rsidR="00456F0C" w:rsidRPr="00456F0C" w:rsidRDefault="00456F0C" w:rsidP="00294EC5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sz w:val="24"/>
          <w:szCs w:val="24"/>
          <w:lang w:val="kk-KZ"/>
        </w:rPr>
        <w:t>физикалық идеяларды дұрыс тұжырымдауға;</w:t>
      </w:r>
    </w:p>
    <w:p w:rsidR="00456F0C" w:rsidRPr="00456F0C" w:rsidRDefault="00456F0C" w:rsidP="00294EC5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sz w:val="24"/>
          <w:szCs w:val="24"/>
          <w:lang w:val="kk-KZ"/>
        </w:rPr>
        <w:t>сапалы және сандық түрде есептерді шешуге;</w:t>
      </w:r>
    </w:p>
    <w:p w:rsidR="00456F0C" w:rsidRPr="00456F0C" w:rsidRDefault="00456F0C" w:rsidP="00294EC5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нақты есептерді шешу барысында </w:t>
      </w:r>
      <w:r w:rsidR="00DE5F4A">
        <w:rPr>
          <w:rFonts w:ascii="Times New Roman" w:hAnsi="Times New Roman" w:cs="Times New Roman"/>
          <w:sz w:val="24"/>
          <w:szCs w:val="24"/>
          <w:lang w:val="kk-KZ"/>
        </w:rPr>
        <w:t>молекулалық</w:t>
      </w:r>
      <w:r w:rsidRPr="00456F0C">
        <w:rPr>
          <w:rFonts w:ascii="Times New Roman" w:hAnsi="Times New Roman" w:cs="Times New Roman"/>
          <w:sz w:val="24"/>
          <w:szCs w:val="24"/>
          <w:lang w:val="kk-KZ"/>
        </w:rPr>
        <w:t xml:space="preserve"> құбылыстардың негізгі заңдылықтарын қолдануға;</w:t>
      </w:r>
    </w:p>
    <w:p w:rsidR="00456F0C" w:rsidRPr="00456F0C" w:rsidRDefault="00456F0C" w:rsidP="00294EC5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sz w:val="24"/>
          <w:szCs w:val="24"/>
          <w:lang w:val="kk-KZ"/>
        </w:rPr>
        <w:t>есептердің шешімін және алынған эксперименттік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нәтижелердің сапасын талдауға</w:t>
      </w:r>
    </w:p>
    <w:p w:rsidR="00C36593" w:rsidRDefault="00456F0C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F0C">
        <w:rPr>
          <w:rFonts w:ascii="Times New Roman" w:hAnsi="Times New Roman" w:cs="Times New Roman"/>
          <w:b/>
          <w:sz w:val="24"/>
          <w:szCs w:val="24"/>
          <w:lang w:val="kk-KZ"/>
        </w:rPr>
        <w:t>қабі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летті</w:t>
      </w:r>
      <w:r w:rsidRPr="00456F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болулары керек.</w:t>
      </w:r>
    </w:p>
    <w:p w:rsidR="00294EC5" w:rsidRDefault="00294EC5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в)</w:t>
      </w:r>
      <w:r w:rsidR="005A40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Жауаптарды бағалау өлшемі</w:t>
      </w:r>
    </w:p>
    <w:tbl>
      <w:tblPr>
        <w:tblStyle w:val="TableGrid"/>
        <w:tblW w:w="9792" w:type="dxa"/>
        <w:tblLook w:val="04A0" w:firstRow="1" w:lastRow="0" w:firstColumn="1" w:lastColumn="0" w:noHBand="0" w:noVBand="1"/>
      </w:tblPr>
      <w:tblGrid>
        <w:gridCol w:w="2354"/>
        <w:gridCol w:w="3170"/>
        <w:gridCol w:w="1387"/>
        <w:gridCol w:w="1500"/>
        <w:gridCol w:w="1381"/>
      </w:tblGrid>
      <w:tr w:rsidR="00725418" w:rsidRPr="00F036A0" w:rsidTr="00623F0D">
        <w:tc>
          <w:tcPr>
            <w:tcW w:w="2354" w:type="dxa"/>
          </w:tcPr>
          <w:p w:rsidR="00294EC5" w:rsidRPr="00F036A0" w:rsidRDefault="00294EC5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бағалар</w:t>
            </w:r>
            <w:proofErr w:type="spellEnd"/>
          </w:p>
        </w:tc>
        <w:tc>
          <w:tcPr>
            <w:tcW w:w="3170" w:type="dxa"/>
          </w:tcPr>
          <w:p w:rsidR="00294EC5" w:rsidRPr="00F036A0" w:rsidRDefault="005A4018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</w:t>
            </w:r>
          </w:p>
        </w:tc>
        <w:tc>
          <w:tcPr>
            <w:tcW w:w="1387" w:type="dxa"/>
          </w:tcPr>
          <w:p w:rsidR="00294EC5" w:rsidRPr="00F036A0" w:rsidRDefault="00294EC5" w:rsidP="006E68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6E6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1500" w:type="dxa"/>
          </w:tcPr>
          <w:p w:rsidR="00294EC5" w:rsidRPr="00F036A0" w:rsidRDefault="00294EC5" w:rsidP="006E68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</w:t>
            </w:r>
            <w:r w:rsidR="006E6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өлім</w:t>
            </w:r>
          </w:p>
        </w:tc>
        <w:tc>
          <w:tcPr>
            <w:tcW w:w="1381" w:type="dxa"/>
          </w:tcPr>
          <w:p w:rsidR="00294EC5" w:rsidRPr="00F036A0" w:rsidRDefault="00294EC5" w:rsidP="006E68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3-б</w:t>
            </w:r>
            <w:r w:rsidR="006E6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өлім</w:t>
            </w:r>
          </w:p>
        </w:tc>
      </w:tr>
      <w:tr w:rsidR="00725418" w:rsidRPr="00F036A0" w:rsidTr="00623F0D">
        <w:tc>
          <w:tcPr>
            <w:tcW w:w="2354" w:type="dxa"/>
          </w:tcPr>
          <w:p w:rsidR="003F1619" w:rsidRDefault="00294EC5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  <w:r w:rsidRPr="00F0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94EC5" w:rsidRPr="00F036A0" w:rsidRDefault="00294EC5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(90-100%)</w:t>
            </w:r>
          </w:p>
        </w:tc>
        <w:tc>
          <w:tcPr>
            <w:tcW w:w="3170" w:type="dxa"/>
          </w:tcPr>
          <w:p w:rsidR="00294EC5" w:rsidRDefault="00F036A0" w:rsidP="00F036A0">
            <w:pPr>
              <w:pStyle w:val="ListParagraph"/>
              <w:numPr>
                <w:ilvl w:val="0"/>
                <w:numId w:val="9"/>
              </w:numPr>
              <w:tabs>
                <w:tab w:val="left" w:pos="368"/>
              </w:tabs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және толық жауап берілген.</w:t>
            </w:r>
          </w:p>
          <w:p w:rsidR="00F036A0" w:rsidRDefault="00DE5F4A" w:rsidP="00F036A0">
            <w:pPr>
              <w:pStyle w:val="ListParagraph"/>
              <w:numPr>
                <w:ilvl w:val="0"/>
                <w:numId w:val="9"/>
              </w:numPr>
              <w:tabs>
                <w:tab w:val="left" w:pos="368"/>
              </w:tabs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формулалар</w:t>
            </w:r>
            <w:r w:rsidR="00F03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толығымен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қорытылған</w:t>
            </w:r>
            <w:r w:rsidR="00F03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36A0" w:rsidRPr="00F036A0" w:rsidRDefault="00F036A0" w:rsidP="00F036A0">
            <w:pPr>
              <w:pStyle w:val="ListParagraph"/>
              <w:tabs>
                <w:tab w:val="left" w:pos="368"/>
              </w:tabs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7" w:type="dxa"/>
          </w:tcPr>
          <w:p w:rsidR="00294EC5" w:rsidRPr="00F036A0" w:rsidRDefault="00294EC5" w:rsidP="00294EC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36-40</w:t>
            </w:r>
          </w:p>
        </w:tc>
        <w:tc>
          <w:tcPr>
            <w:tcW w:w="1500" w:type="dxa"/>
          </w:tcPr>
          <w:p w:rsidR="00294EC5" w:rsidRPr="00F036A0" w:rsidRDefault="00294EC5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18-20</w:t>
            </w:r>
          </w:p>
        </w:tc>
        <w:tc>
          <w:tcPr>
            <w:tcW w:w="1381" w:type="dxa"/>
          </w:tcPr>
          <w:p w:rsidR="00294EC5" w:rsidRPr="00F036A0" w:rsidRDefault="00294EC5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36-40</w:t>
            </w:r>
          </w:p>
        </w:tc>
      </w:tr>
      <w:tr w:rsidR="00725418" w:rsidRPr="00725418" w:rsidTr="00623F0D">
        <w:tc>
          <w:tcPr>
            <w:tcW w:w="2354" w:type="dxa"/>
          </w:tcPr>
          <w:p w:rsidR="00294EC5" w:rsidRPr="00F036A0" w:rsidRDefault="00F036A0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Жақсы</w:t>
            </w:r>
            <w:proofErr w:type="spellEnd"/>
          </w:p>
          <w:p w:rsidR="00294EC5" w:rsidRPr="00F036A0" w:rsidRDefault="00294EC5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(75-89%)</w:t>
            </w:r>
          </w:p>
        </w:tc>
        <w:tc>
          <w:tcPr>
            <w:tcW w:w="3170" w:type="dxa"/>
          </w:tcPr>
          <w:p w:rsidR="00725418" w:rsidRDefault="00725418" w:rsidP="00725418">
            <w:pPr>
              <w:pStyle w:val="ListParagraph"/>
              <w:numPr>
                <w:ilvl w:val="0"/>
                <w:numId w:val="10"/>
              </w:numPr>
              <w:tabs>
                <w:tab w:val="left" w:pos="36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дұрыс, бірақ толық емес жауап берілген. Аздаған қателіктер жіберілген.</w:t>
            </w:r>
          </w:p>
          <w:p w:rsidR="00294EC5" w:rsidRPr="00725418" w:rsidRDefault="00DE5F4A" w:rsidP="00DE5F4A">
            <w:pPr>
              <w:pStyle w:val="ListParagraph"/>
              <w:numPr>
                <w:ilvl w:val="0"/>
                <w:numId w:val="10"/>
              </w:numPr>
              <w:tabs>
                <w:tab w:val="left" w:pos="367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қорытулар</w:t>
            </w:r>
            <w:r w:rsidR="0072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толығымен шешілген, бірақ аздаған қателіктер жіберілген. </w:t>
            </w:r>
          </w:p>
        </w:tc>
        <w:tc>
          <w:tcPr>
            <w:tcW w:w="1387" w:type="dxa"/>
          </w:tcPr>
          <w:p w:rsidR="00294EC5" w:rsidRPr="00725418" w:rsidRDefault="003F1619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30-35</w:t>
            </w:r>
          </w:p>
        </w:tc>
        <w:tc>
          <w:tcPr>
            <w:tcW w:w="1500" w:type="dxa"/>
          </w:tcPr>
          <w:p w:rsidR="00294EC5" w:rsidRPr="00725418" w:rsidRDefault="003F1619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15-17</w:t>
            </w:r>
          </w:p>
        </w:tc>
        <w:tc>
          <w:tcPr>
            <w:tcW w:w="1381" w:type="dxa"/>
          </w:tcPr>
          <w:p w:rsidR="00294EC5" w:rsidRPr="00725418" w:rsidRDefault="003F1619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30-35</w:t>
            </w:r>
          </w:p>
        </w:tc>
      </w:tr>
      <w:tr w:rsidR="00725418" w:rsidRPr="00725418" w:rsidTr="00623F0D">
        <w:tc>
          <w:tcPr>
            <w:tcW w:w="2354" w:type="dxa"/>
          </w:tcPr>
          <w:p w:rsidR="00294EC5" w:rsidRPr="00725418" w:rsidRDefault="00F036A0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  <w:r w:rsidR="00294EC5" w:rsidRPr="0072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(50-74%)</w:t>
            </w:r>
          </w:p>
        </w:tc>
        <w:tc>
          <w:tcPr>
            <w:tcW w:w="3170" w:type="dxa"/>
          </w:tcPr>
          <w:p w:rsidR="00725418" w:rsidRDefault="00725418" w:rsidP="00725418">
            <w:pPr>
              <w:pStyle w:val="ListParagraph"/>
              <w:numPr>
                <w:ilvl w:val="0"/>
                <w:numId w:val="11"/>
              </w:numPr>
              <w:tabs>
                <w:tab w:val="left" w:pos="36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 сұрақтарға жауап берілген, бірақ толық емес. Формуланы дұрыс қорыта алмаған. Теорияны тұжырымдау барысында қателіктер жіберген.</w:t>
            </w:r>
          </w:p>
          <w:p w:rsidR="00294EC5" w:rsidRPr="00725418" w:rsidRDefault="00DE5F4A" w:rsidP="0012681A">
            <w:pPr>
              <w:pStyle w:val="ListParagraph"/>
              <w:numPr>
                <w:ilvl w:val="0"/>
                <w:numId w:val="11"/>
              </w:numPr>
              <w:tabs>
                <w:tab w:val="left" w:pos="368"/>
              </w:tabs>
              <w:ind w:firstLine="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</w:t>
            </w:r>
            <w:r w:rsidR="0072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толығымен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қорытылмаған</w:t>
            </w:r>
            <w:r w:rsidR="00725418" w:rsidRPr="0072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72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5418" w:rsidRPr="0072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бірақ </w:t>
            </w:r>
            <w:r w:rsidR="0072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формула жазылған. </w:t>
            </w:r>
          </w:p>
        </w:tc>
        <w:tc>
          <w:tcPr>
            <w:tcW w:w="1387" w:type="dxa"/>
          </w:tcPr>
          <w:p w:rsidR="00294EC5" w:rsidRPr="00725418" w:rsidRDefault="003F1619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20-29</w:t>
            </w:r>
          </w:p>
        </w:tc>
        <w:tc>
          <w:tcPr>
            <w:tcW w:w="1500" w:type="dxa"/>
          </w:tcPr>
          <w:p w:rsidR="00294EC5" w:rsidRPr="00725418" w:rsidRDefault="003F1619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10-14</w:t>
            </w:r>
          </w:p>
        </w:tc>
        <w:tc>
          <w:tcPr>
            <w:tcW w:w="1381" w:type="dxa"/>
          </w:tcPr>
          <w:p w:rsidR="00294EC5" w:rsidRPr="00725418" w:rsidRDefault="003F1619" w:rsidP="00213E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20-29</w:t>
            </w:r>
          </w:p>
        </w:tc>
      </w:tr>
      <w:tr w:rsidR="00725418" w:rsidRPr="00F036A0" w:rsidTr="00623F0D">
        <w:tc>
          <w:tcPr>
            <w:tcW w:w="2354" w:type="dxa"/>
          </w:tcPr>
          <w:p w:rsidR="00294EC5" w:rsidRPr="00F036A0" w:rsidRDefault="00294EC5" w:rsidP="00213E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3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Қанағаттанарлықсыз</w:t>
            </w:r>
            <w:r w:rsidR="00F036A0" w:rsidRPr="00F0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36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(0-49%)</w:t>
            </w:r>
          </w:p>
        </w:tc>
        <w:tc>
          <w:tcPr>
            <w:tcW w:w="3170" w:type="dxa"/>
          </w:tcPr>
          <w:p w:rsidR="00623F0D" w:rsidRDefault="00623F0D" w:rsidP="00623F0D">
            <w:pPr>
              <w:pStyle w:val="ListParagraph"/>
              <w:numPr>
                <w:ilvl w:val="0"/>
                <w:numId w:val="12"/>
              </w:numPr>
              <w:tabs>
                <w:tab w:val="left" w:pos="36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Теорияны тұжырымдау барысында </w:t>
            </w:r>
            <w:r w:rsidR="00F52F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өрескел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қателіктер жіберген.</w:t>
            </w:r>
          </w:p>
          <w:p w:rsidR="00294EC5" w:rsidRPr="00623F0D" w:rsidRDefault="0012681A" w:rsidP="0012681A">
            <w:pPr>
              <w:pStyle w:val="ListParagraph"/>
              <w:numPr>
                <w:ilvl w:val="0"/>
                <w:numId w:val="12"/>
              </w:numPr>
              <w:tabs>
                <w:tab w:val="left" w:pos="368"/>
              </w:tabs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толық ашылмаған</w:t>
            </w:r>
            <w:r w:rsidR="00623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7" w:type="dxa"/>
          </w:tcPr>
          <w:p w:rsidR="00294EC5" w:rsidRPr="003F1619" w:rsidRDefault="00294EC5" w:rsidP="003F161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0-</w:t>
            </w:r>
            <w:r w:rsidR="003F161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19</w:t>
            </w:r>
          </w:p>
        </w:tc>
        <w:tc>
          <w:tcPr>
            <w:tcW w:w="1500" w:type="dxa"/>
          </w:tcPr>
          <w:p w:rsidR="00294EC5" w:rsidRPr="003F1619" w:rsidRDefault="00294EC5" w:rsidP="003F161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036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0-</w:t>
            </w:r>
            <w:r w:rsidR="003F161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9</w:t>
            </w:r>
          </w:p>
        </w:tc>
        <w:tc>
          <w:tcPr>
            <w:tcW w:w="1381" w:type="dxa"/>
          </w:tcPr>
          <w:p w:rsidR="00294EC5" w:rsidRPr="003F1619" w:rsidRDefault="003F1619" w:rsidP="003F161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</w:t>
            </w:r>
            <w:r w:rsidR="00294EC5" w:rsidRPr="00F036A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9</w:t>
            </w:r>
          </w:p>
        </w:tc>
      </w:tr>
    </w:tbl>
    <w:p w:rsidR="00294EC5" w:rsidRPr="00F036A0" w:rsidRDefault="00294EC5" w:rsidP="007B12B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0683" w:rsidRDefault="00F70683" w:rsidP="007B12B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0683" w:rsidRDefault="00F70683" w:rsidP="007B12B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0683" w:rsidRDefault="00F70683" w:rsidP="007B12B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B12B9" w:rsidRPr="006E68E2" w:rsidRDefault="006E68E2" w:rsidP="007B1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г) </w:t>
      </w:r>
      <w:r w:rsidR="007B12B9" w:rsidRPr="006E68E2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әдебиеттер:</w:t>
      </w:r>
    </w:p>
    <w:p w:rsidR="00F70683" w:rsidRPr="00F70683" w:rsidRDefault="00F70683" w:rsidP="00F70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70683">
        <w:rPr>
          <w:rFonts w:ascii="Times New Roman" w:hAnsi="Times New Roman" w:cs="Times New Roman"/>
          <w:sz w:val="24"/>
          <w:szCs w:val="24"/>
        </w:rPr>
        <w:t xml:space="preserve">1. Дуброва Т. </w:t>
      </w:r>
      <w:proofErr w:type="spellStart"/>
      <w:r w:rsidRPr="00F70683">
        <w:rPr>
          <w:rFonts w:ascii="Times New Roman" w:hAnsi="Times New Roman" w:cs="Times New Roman"/>
          <w:sz w:val="24"/>
          <w:szCs w:val="24"/>
        </w:rPr>
        <w:t>А.Статистические</w:t>
      </w:r>
      <w:proofErr w:type="spellEnd"/>
      <w:r w:rsidRPr="00F70683">
        <w:rPr>
          <w:rFonts w:ascii="Times New Roman" w:hAnsi="Times New Roman" w:cs="Times New Roman"/>
          <w:sz w:val="24"/>
          <w:szCs w:val="24"/>
        </w:rPr>
        <w:t xml:space="preserve"> методы прогнозирования. - М.:ЮНИТИ 2003.</w:t>
      </w:r>
    </w:p>
    <w:p w:rsidR="00F70683" w:rsidRPr="00F70683" w:rsidRDefault="00F70683" w:rsidP="00F70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70683">
        <w:rPr>
          <w:rFonts w:ascii="Times New Roman" w:hAnsi="Times New Roman" w:cs="Times New Roman"/>
          <w:sz w:val="24"/>
          <w:szCs w:val="24"/>
        </w:rPr>
        <w:t xml:space="preserve">2. Степнов, М. Н., </w:t>
      </w:r>
      <w:proofErr w:type="spellStart"/>
      <w:r w:rsidRPr="00F70683">
        <w:rPr>
          <w:rFonts w:ascii="Times New Roman" w:hAnsi="Times New Roman" w:cs="Times New Roman"/>
          <w:sz w:val="24"/>
          <w:szCs w:val="24"/>
        </w:rPr>
        <w:t>Шабрин</w:t>
      </w:r>
      <w:proofErr w:type="spellEnd"/>
      <w:r w:rsidRPr="00F70683">
        <w:rPr>
          <w:rFonts w:ascii="Times New Roman" w:hAnsi="Times New Roman" w:cs="Times New Roman"/>
          <w:sz w:val="24"/>
          <w:szCs w:val="24"/>
        </w:rPr>
        <w:t>, А. В. Статистические методы обработки результатов механических испытаний. - М.: Машиностроение, 2005</w:t>
      </w:r>
    </w:p>
    <w:p w:rsidR="00F70683" w:rsidRPr="00F70683" w:rsidRDefault="00F70683" w:rsidP="00F70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70683">
        <w:rPr>
          <w:rFonts w:ascii="Times New Roman" w:hAnsi="Times New Roman" w:cs="Times New Roman"/>
          <w:sz w:val="24"/>
          <w:szCs w:val="24"/>
        </w:rPr>
        <w:t xml:space="preserve">3. Годин, А. М., Русин, В. Н., </w:t>
      </w:r>
      <w:proofErr w:type="spellStart"/>
      <w:r w:rsidRPr="00F70683">
        <w:rPr>
          <w:rFonts w:ascii="Times New Roman" w:hAnsi="Times New Roman" w:cs="Times New Roman"/>
          <w:sz w:val="24"/>
          <w:szCs w:val="24"/>
        </w:rPr>
        <w:t>Соколин</w:t>
      </w:r>
      <w:proofErr w:type="spellEnd"/>
      <w:r w:rsidRPr="00F70683">
        <w:rPr>
          <w:rFonts w:ascii="Times New Roman" w:hAnsi="Times New Roman" w:cs="Times New Roman"/>
          <w:sz w:val="24"/>
          <w:szCs w:val="24"/>
        </w:rPr>
        <w:t>, В. П. Статистические средние и другие величины и их применение в различных отраслях деятельности. - М.: Дашков и К, 2008.</w:t>
      </w:r>
    </w:p>
    <w:p w:rsidR="00F70683" w:rsidRPr="00F70683" w:rsidRDefault="00F70683" w:rsidP="00F70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70683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F70683">
        <w:rPr>
          <w:rFonts w:ascii="Times New Roman" w:hAnsi="Times New Roman" w:cs="Times New Roman"/>
          <w:sz w:val="24"/>
          <w:szCs w:val="24"/>
        </w:rPr>
        <w:t>Вадзинский</w:t>
      </w:r>
      <w:proofErr w:type="spellEnd"/>
      <w:r w:rsidRPr="00F70683">
        <w:rPr>
          <w:rFonts w:ascii="Times New Roman" w:hAnsi="Times New Roman" w:cs="Times New Roman"/>
          <w:sz w:val="24"/>
          <w:szCs w:val="24"/>
        </w:rPr>
        <w:t xml:space="preserve"> Р. Статистические вычисления в среде EXCEL. - СПб</w:t>
      </w:r>
      <w:proofErr w:type="gramStart"/>
      <w:r w:rsidRPr="00F7068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70683">
        <w:rPr>
          <w:rFonts w:ascii="Times New Roman" w:hAnsi="Times New Roman" w:cs="Times New Roman"/>
          <w:sz w:val="24"/>
          <w:szCs w:val="24"/>
        </w:rPr>
        <w:t>Питер,2008.</w:t>
      </w:r>
    </w:p>
    <w:p w:rsidR="002C4AE9" w:rsidRPr="002C4AE9" w:rsidRDefault="00F70683" w:rsidP="002C4AE9">
      <w:pPr>
        <w:pStyle w:val="Default"/>
        <w:rPr>
          <w:rFonts w:ascii="Calibri" w:hAnsi="Calibri" w:cs="Calibri"/>
          <w:sz w:val="22"/>
          <w:szCs w:val="22"/>
        </w:rPr>
      </w:pPr>
      <w:r w:rsidRPr="00F70683">
        <w:t>5. Вакулин, Александр Анатольевич.  Методы и средства измерений, испытаний и контроля: учеб</w:t>
      </w:r>
      <w:proofErr w:type="gramStart"/>
      <w:r w:rsidRPr="00F70683">
        <w:t>.</w:t>
      </w:r>
      <w:proofErr w:type="gramEnd"/>
      <w:r w:rsidRPr="00F70683">
        <w:t xml:space="preserve"> </w:t>
      </w:r>
      <w:proofErr w:type="gramStart"/>
      <w:r w:rsidRPr="00F70683">
        <w:t>п</w:t>
      </w:r>
      <w:proofErr w:type="gramEnd"/>
      <w:r w:rsidRPr="00F70683">
        <w:t xml:space="preserve">особие для студ. вузов, </w:t>
      </w:r>
      <w:proofErr w:type="spellStart"/>
      <w:r w:rsidRPr="00F70683">
        <w:t>обуч</w:t>
      </w:r>
      <w:proofErr w:type="spellEnd"/>
      <w:r w:rsidRPr="00F70683">
        <w:t xml:space="preserve">. по напр. 200500                                                                              6.Теоретические и практические основы теплофизических измерений/ С. В. Пономарев [и др.]. - Москва: </w:t>
      </w:r>
      <w:proofErr w:type="spellStart"/>
      <w:r w:rsidRPr="00F70683">
        <w:t>Физматлит</w:t>
      </w:r>
      <w:proofErr w:type="spellEnd"/>
      <w:r w:rsidRPr="00F70683">
        <w:t>, 20с</w:t>
      </w:r>
      <w:r w:rsidRPr="00F70683">
        <w:rPr>
          <w:b/>
        </w:rPr>
        <w:t xml:space="preserve">                                  </w:t>
      </w:r>
      <w:r>
        <w:rPr>
          <w:b/>
        </w:rPr>
        <w:t xml:space="preserve">                                                         </w:t>
      </w:r>
      <w:r w:rsidRPr="00F70683">
        <w:rPr>
          <w:b/>
        </w:rPr>
        <w:t xml:space="preserve"> </w:t>
      </w:r>
      <w:r>
        <w:rPr>
          <w:b/>
        </w:rPr>
        <w:t>7.</w:t>
      </w:r>
      <w:r w:rsidRPr="00F70683">
        <w:t xml:space="preserve">А.Г.Илларионов, </w:t>
      </w:r>
      <w:proofErr w:type="spellStart"/>
      <w:r w:rsidRPr="00F70683">
        <w:t>А.Г.Сасин</w:t>
      </w:r>
      <w:proofErr w:type="spellEnd"/>
      <w:r w:rsidRPr="00F70683">
        <w:t xml:space="preserve">, </w:t>
      </w:r>
      <w:proofErr w:type="spellStart"/>
      <w:r w:rsidRPr="00F70683">
        <w:t>В.Н.Фёдоров</w:t>
      </w:r>
      <w:proofErr w:type="spellEnd"/>
      <w:r w:rsidRPr="00F70683">
        <w:t xml:space="preserve">, </w:t>
      </w:r>
      <w:proofErr w:type="spellStart"/>
      <w:r w:rsidRPr="00F70683">
        <w:t>Н.Ф.Шитов</w:t>
      </w:r>
      <w:proofErr w:type="spellEnd"/>
      <w:r w:rsidRPr="00F70683">
        <w:t xml:space="preserve"> </w:t>
      </w:r>
      <w:proofErr w:type="gramStart"/>
      <w:r w:rsidRPr="00F70683">
        <w:t>:”</w:t>
      </w:r>
      <w:proofErr w:type="gramEnd"/>
      <w:r w:rsidRPr="00F70683">
        <w:t xml:space="preserve">Применение теории вероятностей и математической статистики при планировании и анализе результатов </w:t>
      </w:r>
      <w:proofErr w:type="spellStart"/>
      <w:r w:rsidRPr="00F70683">
        <w:t>эксперимен</w:t>
      </w:r>
      <w:proofErr w:type="spellEnd"/>
      <w:r w:rsidRPr="00F70683">
        <w:t xml:space="preserve">-та” МЭИ 1993г.                                                     3.Пономарев С.В., Мищенко </w:t>
      </w:r>
      <w:r>
        <w:t>8</w:t>
      </w:r>
      <w:r w:rsidRPr="00F70683">
        <w:t xml:space="preserve">.С.В., Дивин А.Г. ”Теоретические и практические аспекты теплофизических измерений” Монография. В.2.кн. Тамбов: Изд-во </w:t>
      </w:r>
      <w:proofErr w:type="spellStart"/>
      <w:r w:rsidRPr="00F70683">
        <w:t>Тамб</w:t>
      </w:r>
      <w:proofErr w:type="spellEnd"/>
      <w:r w:rsidRPr="00F70683">
        <w:t xml:space="preserve">. Гос. </w:t>
      </w:r>
      <w:proofErr w:type="spellStart"/>
      <w:r w:rsidRPr="00F70683">
        <w:t>Техн</w:t>
      </w:r>
      <w:proofErr w:type="spellEnd"/>
      <w:r w:rsidRPr="00F70683">
        <w:t xml:space="preserve">. Ун-та, 2006. Кн. 2.                                                          9.Ю.Ф.Гортышов, </w:t>
      </w:r>
      <w:proofErr w:type="spellStart"/>
      <w:r w:rsidRPr="00F70683">
        <w:t>Ю.Н.Дресвянников</w:t>
      </w:r>
      <w:proofErr w:type="spellEnd"/>
      <w:r w:rsidRPr="00F70683">
        <w:t xml:space="preserve"> и др. под редакцией </w:t>
      </w:r>
      <w:proofErr w:type="spellStart"/>
      <w:r w:rsidRPr="00F70683">
        <w:t>В.К.Щукина</w:t>
      </w:r>
      <w:proofErr w:type="spellEnd"/>
      <w:r w:rsidRPr="00F70683">
        <w:t>: ”Теория и техника теплотехнического эксперимента”</w:t>
      </w:r>
      <w:proofErr w:type="gramStart"/>
      <w:r w:rsidRPr="00F70683">
        <w:t>.</w:t>
      </w:r>
      <w:proofErr w:type="spellStart"/>
      <w:r w:rsidRPr="00F70683">
        <w:t>М</w:t>
      </w:r>
      <w:proofErr w:type="gramEnd"/>
      <w:r w:rsidRPr="00F70683">
        <w:t>.Энер-атомиздат</w:t>
      </w:r>
      <w:proofErr w:type="spellEnd"/>
      <w:r w:rsidRPr="00F70683">
        <w:t xml:space="preserve"> 1985г.</w:t>
      </w:r>
      <w:r w:rsidRPr="00F70683">
        <w:br/>
      </w:r>
      <w:r w:rsidR="002C4AE9" w:rsidRPr="002C4AE9">
        <w:rPr>
          <w:b/>
          <w:bCs/>
          <w:sz w:val="23"/>
          <w:szCs w:val="23"/>
        </w:rPr>
        <w:t xml:space="preserve">Методы экспериментального исследования коэффициентов теплоотдачи и </w:t>
      </w:r>
      <w:proofErr w:type="spellStart"/>
      <w:r w:rsidR="002C4AE9" w:rsidRPr="002C4AE9">
        <w:rPr>
          <w:b/>
          <w:bCs/>
          <w:sz w:val="23"/>
          <w:szCs w:val="23"/>
        </w:rPr>
        <w:t>массообмена</w:t>
      </w:r>
      <w:proofErr w:type="spellEnd"/>
      <w:r w:rsidR="002C4AE9" w:rsidRPr="002C4AE9">
        <w:rPr>
          <w:b/>
          <w:bCs/>
          <w:sz w:val="23"/>
          <w:szCs w:val="23"/>
        </w:rPr>
        <w:t xml:space="preserve">. </w:t>
      </w:r>
      <w:r w:rsidR="002C4AE9" w:rsidRPr="002C4AE9">
        <w:rPr>
          <w:sz w:val="23"/>
          <w:szCs w:val="23"/>
        </w:rPr>
        <w:t xml:space="preserve">Стационарные методы определения местных и средних коэффициентов </w:t>
      </w:r>
      <w:r w:rsidR="002C4AE9" w:rsidRPr="002C4AE9">
        <w:rPr>
          <w:rFonts w:ascii="Calibri" w:hAnsi="Calibri" w:cs="Calibri"/>
          <w:sz w:val="22"/>
          <w:szCs w:val="22"/>
        </w:rPr>
        <w:t xml:space="preserve">8 </w:t>
      </w:r>
    </w:p>
    <w:p w:rsidR="002C4AE9" w:rsidRPr="002C4AE9" w:rsidRDefault="002C4AE9" w:rsidP="002C4A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4AE9" w:rsidRPr="002C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CDE" w:rsidRDefault="00DA2CDE" w:rsidP="006B5EC0">
      <w:pPr>
        <w:spacing w:after="0" w:line="240" w:lineRule="auto"/>
      </w:pPr>
      <w:r>
        <w:separator/>
      </w:r>
    </w:p>
  </w:endnote>
  <w:endnote w:type="continuationSeparator" w:id="0">
    <w:p w:rsidR="00DA2CDE" w:rsidRDefault="00DA2CDE" w:rsidP="006B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CDE" w:rsidRDefault="00DA2CDE" w:rsidP="006B5EC0">
      <w:pPr>
        <w:spacing w:after="0" w:line="240" w:lineRule="auto"/>
      </w:pPr>
      <w:r>
        <w:separator/>
      </w:r>
    </w:p>
  </w:footnote>
  <w:footnote w:type="continuationSeparator" w:id="0">
    <w:p w:rsidR="00DA2CDE" w:rsidRDefault="00DA2CDE" w:rsidP="006B5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F11"/>
    <w:multiLevelType w:val="hybridMultilevel"/>
    <w:tmpl w:val="532C4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12E68"/>
    <w:multiLevelType w:val="hybridMultilevel"/>
    <w:tmpl w:val="A1F6E6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BB4BFF"/>
    <w:multiLevelType w:val="hybridMultilevel"/>
    <w:tmpl w:val="9342E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42B35"/>
    <w:multiLevelType w:val="hybridMultilevel"/>
    <w:tmpl w:val="A1F6E6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29A13AF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91F37"/>
    <w:multiLevelType w:val="hybridMultilevel"/>
    <w:tmpl w:val="24D6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07B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949C2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B75F7"/>
    <w:multiLevelType w:val="hybridMultilevel"/>
    <w:tmpl w:val="EDDA5852"/>
    <w:lvl w:ilvl="0" w:tplc="266C7AA8">
      <w:start w:val="1"/>
      <w:numFmt w:val="decimal"/>
      <w:lvlText w:val="%1.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E2084"/>
    <w:multiLevelType w:val="hybridMultilevel"/>
    <w:tmpl w:val="199E2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0F26E1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C7983"/>
    <w:multiLevelType w:val="hybridMultilevel"/>
    <w:tmpl w:val="BEEC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42BBF"/>
    <w:multiLevelType w:val="hybridMultilevel"/>
    <w:tmpl w:val="7DB8764A"/>
    <w:lvl w:ilvl="0" w:tplc="169CAC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FB"/>
    <w:rsid w:val="000D2DFE"/>
    <w:rsid w:val="0012681A"/>
    <w:rsid w:val="001A2BFB"/>
    <w:rsid w:val="0027522E"/>
    <w:rsid w:val="00294EC5"/>
    <w:rsid w:val="002C4AE9"/>
    <w:rsid w:val="002F2768"/>
    <w:rsid w:val="00337C91"/>
    <w:rsid w:val="003E695B"/>
    <w:rsid w:val="003F1619"/>
    <w:rsid w:val="00424936"/>
    <w:rsid w:val="0044229B"/>
    <w:rsid w:val="00456F0C"/>
    <w:rsid w:val="00522B02"/>
    <w:rsid w:val="005A4018"/>
    <w:rsid w:val="005B0568"/>
    <w:rsid w:val="006144AF"/>
    <w:rsid w:val="00623F0D"/>
    <w:rsid w:val="006B5EC0"/>
    <w:rsid w:val="006E68E2"/>
    <w:rsid w:val="00725418"/>
    <w:rsid w:val="007B12B9"/>
    <w:rsid w:val="0083181F"/>
    <w:rsid w:val="00845A51"/>
    <w:rsid w:val="00862277"/>
    <w:rsid w:val="00A541EB"/>
    <w:rsid w:val="00BC5866"/>
    <w:rsid w:val="00BD297E"/>
    <w:rsid w:val="00C36593"/>
    <w:rsid w:val="00CE0924"/>
    <w:rsid w:val="00CF6F22"/>
    <w:rsid w:val="00DA2CDE"/>
    <w:rsid w:val="00DB6034"/>
    <w:rsid w:val="00DE5F4A"/>
    <w:rsid w:val="00E54FAF"/>
    <w:rsid w:val="00E87752"/>
    <w:rsid w:val="00F036A0"/>
    <w:rsid w:val="00F52F9D"/>
    <w:rsid w:val="00F70683"/>
    <w:rsid w:val="00FD1879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DB603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F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A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2B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DB603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6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60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DB603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DB60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rial14">
    <w:name w:val="Стиль Arial 14 пт Синий По ширине Междустр.интервал:  полуторный"/>
    <w:basedOn w:val="Normal"/>
    <w:uiPriority w:val="99"/>
    <w:rsid w:val="00DB6034"/>
    <w:pPr>
      <w:spacing w:after="0" w:line="360" w:lineRule="auto"/>
      <w:jc w:val="both"/>
    </w:pPr>
    <w:rPr>
      <w:rFonts w:ascii="Arial" w:eastAsia="Times New Roman" w:hAnsi="Arial" w:cs="Times New Roman"/>
      <w:color w:val="0000FF"/>
      <w:sz w:val="28"/>
      <w:szCs w:val="20"/>
      <w:lang w:eastAsia="ru-RU"/>
    </w:rPr>
  </w:style>
  <w:style w:type="paragraph" w:customStyle="1" w:styleId="Style17">
    <w:name w:val="Style17"/>
    <w:basedOn w:val="Normal"/>
    <w:uiPriority w:val="99"/>
    <w:rsid w:val="00DB6034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Normal"/>
    <w:uiPriority w:val="99"/>
    <w:rsid w:val="00DB603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DB603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32">
    <w:name w:val="Font Style32"/>
    <w:uiPriority w:val="99"/>
    <w:rsid w:val="00DB6034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Default">
    <w:name w:val="Default"/>
    <w:rsid w:val="00337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5E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EC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5E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DB603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F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A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2B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DB603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6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60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DB603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DB60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rial14">
    <w:name w:val="Стиль Arial 14 пт Синий По ширине Междустр.интервал:  полуторный"/>
    <w:basedOn w:val="Normal"/>
    <w:uiPriority w:val="99"/>
    <w:rsid w:val="00DB6034"/>
    <w:pPr>
      <w:spacing w:after="0" w:line="360" w:lineRule="auto"/>
      <w:jc w:val="both"/>
    </w:pPr>
    <w:rPr>
      <w:rFonts w:ascii="Arial" w:eastAsia="Times New Roman" w:hAnsi="Arial" w:cs="Times New Roman"/>
      <w:color w:val="0000FF"/>
      <w:sz w:val="28"/>
      <w:szCs w:val="20"/>
      <w:lang w:eastAsia="ru-RU"/>
    </w:rPr>
  </w:style>
  <w:style w:type="paragraph" w:customStyle="1" w:styleId="Style17">
    <w:name w:val="Style17"/>
    <w:basedOn w:val="Normal"/>
    <w:uiPriority w:val="99"/>
    <w:rsid w:val="00DB6034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Normal"/>
    <w:uiPriority w:val="99"/>
    <w:rsid w:val="00DB603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DB603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32">
    <w:name w:val="Font Style32"/>
    <w:uiPriority w:val="99"/>
    <w:rsid w:val="00DB6034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Default">
    <w:name w:val="Default"/>
    <w:rsid w:val="00337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5E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EC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5E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E05E0-C146-483E-BA23-9274C598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Габдуллина Гулмира</dc:creator>
  <cp:keywords/>
  <dc:description/>
  <cp:lastModifiedBy>RePack by Diakov</cp:lastModifiedBy>
  <cp:revision>34</cp:revision>
  <cp:lastPrinted>2018-11-21T08:36:00Z</cp:lastPrinted>
  <dcterms:created xsi:type="dcterms:W3CDTF">2018-11-21T08:35:00Z</dcterms:created>
  <dcterms:modified xsi:type="dcterms:W3CDTF">2018-12-10T15:04:00Z</dcterms:modified>
</cp:coreProperties>
</file>